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186 vom 4. Mai 2026</w:t>
      </w:r>
    </w:p>
    <w:p>
      <w:r>
        <w:t>FR Kantonsgericht, 2026-05-04, FR</w:t>
      </w:r>
    </w:p>
    <w:p>
      <w:r>
        <w:rPr>
          <w:b/>
        </w:rPr>
        <w:t xml:space="preserve">Quelle: </w:t>
      </w:r>
      <w:r>
        <w:t>https://mcp.opencaselaw.ch/entscheid/fr_gerichte_102 2025 186</w:t>
      </w:r>
    </w:p>
    <w:p>
      <w:r>
        <w:t>FR: FR_GERICHTE 102 2025 186 du 4 mai 2026</w:t>
      </w:r>
    </w:p>
    <w:p>
      <w:r>
        <w:t>IT: FR_GERICHTE 102 2025 186 del 4 maggio 2026</w:t>
      </w:r>
    </w:p>
    <w:p>
      <w:pPr>
        <w:pStyle w:val="Heading2"/>
      </w:pPr>
      <w:r>
        <w:t>Erwägungen</w:t>
      </w:r>
    </w:p>
    <w:p>
      <w:r>
        <w:rPr>
          <w:b/>
        </w:rPr>
        <w:t>E. 9</w:t>
      </w:r>
    </w:p>
    <w:p>
      <w:r>
        <w:t>février 2016 consid. 4.3.1). Aux termes de l’art. 227 al. 1 CPC, la demande peut être modifiée si la prétention nouvelle ou modifiée relève de la même procédure et que l’une des conditions suivantes est remplie : la prétention nouvelle et modifiée présente un lien de connexité avec la dernière prétention (let. a) ; la partie adverse consent à la modification de la demande (let. b). Par modification de la demande, il faut entendre la modification de l'objet du litige (arrêt TC/BS ZB.2018.7 du 6 février 2019 consid. 1.2.2). Une simple précision des conclusions doit être distinguée</w:t>
      </w:r>
    </w:p>
    <w:p>
      <w:r>
        <w:t>Tribunal cantonal TC Page 7 de 14 d’une modification de la demande. Il y a modification lorsque le demandeur introduit de nouveaux allégués au procès et que de ce fait, la demande n’est plus identique à celle initialement déposée. La demande reste identique lorsque les conclusions, les faits et les « tenants et aboutissants juridiques » qui fondent la prétention invoquée sont identiques (arrêt TF 5A_621/2012 du 20 mars 2013 consid. 4.3.2.). Au demeurant, une nouvelle conclusion présentant un lien de connexité avec la prétention invoquée en procédure de conciliation est également recevable. En effet, si une nouvelle conclusion peut être ajoutée sans préalable de conciliation après le dépôt de la demande conformément à l'art. 227 al. 1 CPC, il doit en aller de même lorsque la modification intervient après la délivrance de l'autorisation de procéder, dans la demande. Dans le cadre d'une application analogique de l'art. 227 CPC, la condition de l'identité de la procédure applicable, posée à l'art. 227 al. 1 CPC, n'entre pas en considération lorsque les conclusions sont modifiées entre la délivrance de l'autorisation de procéder et le dépôt de la demande, car elle est dénuée de justification à ce stade-là. Le type de procédure applicable se détermine logiquement au moment du dépôt de la demande. Lorsque les conclusions sont modifiées entre la délivrance de l'autorisation de procéder et le dépôt de la demande, il n'y a pas lieu de craindre que la procédure ne soit retardée de ce fait, ni que la défense de ses droits par le défendeur n'en soit rendue plus compliquée, ce que le législateur entendait éviter en adoptant l'art. 227 CPC (arrêt TF 4A_222/2017 du 8 mai 2018 consid. 4.1.2.). En l’espèce, l’action de l’intimée n’a pas été modifiée au sens de l’art. 227 al. 1 CPC entre l’autorisation de procéder et la demande au fond. En effet, l’intimée a simplement précisé ce qu’elle entendait par « certificat de travail bienveillant » en proposant une version de ce certificat dans son action au fond. Les conclusions et les faits, de même que les tenants et aboutissants juridiques qui fondent la prétention invoquée sont restés identiques. Quoi qu’il en soit, même à considérer qu’il s’agissait bien d’une modification, la condition de l’art. 227 al. 1 let. a CPC serait remplie et cette modification serait admissible. En effet, la prétention nouvelle et modifiée (certificat de travail bienveillant rédigé) présente sans conteste un lien de connexité avec la dernière prétention (certificat de travail bienveillant, dont le contenu n’est pas proposé). Partant, ce grief procédural formulé par l’appelante tombe à faux. 2.3. Selon l'art. 330a al. 1 CO, le travailleur peut demander en tout temps à l'employeur un certificat portant sur la nature et la durée des rapports de travail, ainsi que sur la qualité de son travail et sa conduite. 2.3.1. Ce certificat qualifié (ou complet) doit, d’une part, favoriser l’avenir professionnel du travailleur et doit, de ce fait, être rédigé de manière bienveillante. D’autre part, il doit donner au futur employeur l’image la plus fiable possible de l’activité, des prestations et de la conduite du travailleur ; c’est la raison pour laquelle il se doit d’être complet et conforme à la vérité. Par conséquent, un certificat de travail qualifié peut et doit mentionner les faits négatifs concernant les prestations du travailleur dans la mesure où ceux-ci sont importants pour l’évaluation de l’ensemble de la situation. Sont déterminantes les circonstances du cas particulier (ATF 144 II 345 consid. 5.2.1. / JdT 2019 II 316), incluant la qualité de la prestation et le comportement de l’employé. Tant l’action en délivrance simple que l’action en délivrance d’un certificat de travail au contenu déterminé sont possibles. Le travailleur qui conclut à la délivrance d’un certificat de travail dont il propose la formulation facilite certes la détermination de l’employeur ainsi qu’une éventuelle conciliation portant sur son contenu. Il ne peut cependant pas être contraint, sous peine d’irrecevabilité, de formuler un texte lorsqu’il introduit une action en délivrance d’un certificat de travail, vu que la délivrance et la composition de celui-ci constituent une obligation de l’employeur.</w:t>
      </w:r>
    </w:p>
    <w:p>
      <w:r>
        <w:t>Tribunal cantonal TC Page 8 de 14 Si le travailleur a conclu à la délivrance d’un certificat de travail avec un contenu déterminé, il ne pourra pas introduire ensuite d’action en rectification du certificat de travail obtenu, le contenu de celui-ci ayant acquis autorité de la chose jugée. S’il a seulement conclu à la délivrance d’un certificat de travail, il pourra engager ensuite une action en rectification si le contenu de celui-ci ne le satisfait pas, soit parce qu’il contient des erreurs, soit parce qu’il est trompeur ou ambigu (arrêt TF 4A_50/2023 du 5 février 2024 consid. 6.1.4.). 2.3.2. En l’espèce, sur le fond, la Cour se rallie à l’appréciation pertinente du Tribunal des prud'hommes (décision querellée, p. 14s., let. d) et ajoute ce qui suit afin de répondre aux critiques émises par la société A.________ S.A. en appel. A l’appui de son refus de délivrer le certificat de travail tel que proposé par B.________, la société A.________ S.A. invoque, d’une part, la commission d’infractions pénales par son employée (notamment une gestion déloyale) et, d’autre part, un comportement inapproprié de cette dernière envers ses collègues durant plusieurs années. Ce dernier grief n’a toutefois pas été allégué dans les écritures de l’appelante, mais uniquement lors de l’audition de son administrateur. 2.3.2.1. Tout d’abord, à l’instar du Tribunal des prud'hommes, la Cour constate qu’aucune pièce versée au dossier ne permet de retenir que le comportement de B.________ aurait été problématique, que ce soit vis-à-vis de la défenderesse ou de ses collègues. A cet égard précisément, la Cour ne partage pas l’interprétation que l’appelante fait des courriels échangés entre l’intimée et ses collègues. Premièrement, contrairement à ce qu’a soutenu l’appelante en première instance, le courriel du</w:t>
      </w:r>
    </w:p>
    <w:p>
      <w:r>
        <w:rPr>
          <w:b/>
        </w:rPr>
        <w:t>E. 14</w:t>
      </w:r>
    </w:p>
    <w:p>
      <w:r>
        <w:t>octobre 2020 adressé par H.________ à B.________ ne permet pas d’affirmer que la première nommée avait l’espoir qu’un client connu ne signe pas avec la défenderesse (cf. allégué n° 107 de la réponse). Il semblerait au contraire que ce client avait déjà signé avec la défenderesse, puisque son dossier était suivi par l’employée de cette dernière, H.________. Celle-ci a écrit à B.________ qu’elle espérait que le client en question ne demande pas à changer de conseiller au profit du nouvel employé de la société, un prénommé « M.________ », dont le comportement a, de l’aveu même de L.________, perturbé l’ambiance de travail. Il semble avoir été porté à la connaissance de H.________ que ce client avait des liens familiaux avec ce nouvel employé. Elle espérait ne pas perdre ce dossier (cf. bordereau du 28 avril 2023 de l’appelante, pce 8). Deuxièmement, il n’est pas contesté que l’intimée a ouvert une société fiduciaire concurrente. Aussi, on ne discerne pas en quoi le courriel adressé le 21 avril 2021 par I.________ à H.________ et B.________ à propos de l’aménagement de l’électricité dans leur futur bureau de Rossens (cf. bordereau du 28 avril 2023 de l’appelante, pce 9), induit un comportement tel de la part de B.________ qu’il justifie de remettre en question le contenu de son certificat de travail. Au demeurant, bien que reçu durant les heures de travail sur son adresse privée, on ne connait pas l’heure à laquelle B.________ a lu et traité ce courriel. Quoi qu’il en soit, le seul fait de lire un courriel privé durant les heures de travail n’est pas de nature, à lui seul, à remettre en cause la qualité du travail effectué. Troisièmement, le courriel adressé le 23 avril 2021 par H.________ à I.________ et à B.________ signifie tout au plus que la première nommée n’a pas envie d’avoir affaire à L.________. H.________ demande à l’un de ses collègues, fondés de procuration, de signer à la place de l’administrateur. La Cour relève toutefois que les deux autres collègues étaient encore employés de la société A.________ S.A. et signaient au nom de cette dernière, de sorte qu’on ne discerne pas en quoi il</w:t>
      </w:r>
    </w:p>
    <w:p>
      <w:r>
        <w:t>Tribunal cantonal TC Page 9 de 14 s’agirait d’une violation du devoir de fidélité envers leur employeur (cf. bordereau du 28 avril 2023 de l’appelante, pce 10). Quatrièmement, comme rappelé ci-avant, il n’est pas contesté que l’intimée a ouvert une société fiduciaire concurrente. Aussi, les échanges de courriels des 14 et 16 avril 2021 entre Me N.________, I.________, H.________ et B.________ attestent simplement du fait que les concernés discutaient des statuts de leur future société. On ne discerne pas en quoi ces courriels justifient de remettre en question le contenu du certificat de travail de l’intimée (cf. bordereau du 28 avril 2023 de l’appelante, pces 11 et 12). Au demeurant, là encore, il n’est pas établi que B.________ aurait lu et traité ces courriels, reçus sur son adresse privée, durant ses heures de travail. Quoi qu’il en soit, la société concurrente a débuté ses activités après la résiliation du contrat de travail de B.________. Cinquièmement, l’échange de courriels du 28 juin 2021 entre B.________ et H.________ ne prouve en rien une quelconque activité de reprise de la clientèle de leur employeur. La question posée par H.________ à B.________ vise, d’une manière générale, le processus de désinscription d’un client auprès du portail TVA (cf. bordereau du 28 avril 2023 de l’appelante, pce 15). Sixièmement, le courriel adressé le 9 juillet 2021 par J.________ à I.________ ne fait aucune mention de B.________ (cf. bordereau du 28 avril 2023 de l’appelante, pce 17). A l’instar de celle- ci, la Cour ne discerne pas en quoi l’intimée est concernée par le contenu de ce courriel. En définitive, les multiples pièces produites par l’appelante en première instance ne révèlent aucun élément de fait imputable à B.________ qui pourrait porter le flanc à la critique ou qui pourrait susciter le moindre doute quant à la véracité du contenu du certificat de travail proposé par cette dernière. Les griefs formulés par l’appelante à l’encontre de son ancienne employée découlent bien plutôt d’extrapolations tirées de ces pièces. Quant à la procédure pénale en cours, les procès-verbaux des auditions menées par le Ministère public et produits en première instance par l’appelante ne confirme nullement la commission d’une infraction pénale par B.________, puisque ces auditions ne l’ont pas concernée. Le Ministère public a par ailleurs classé la procédure pénale ouverte à l’encontre de cette dernière par ordonnance du 6 mars 2025 et, au lieu de laisser la totalité des frais de procédure à la charge de l’Etat (art. 423 CPP), en a mis la moitié à la charge de la société A.________ S.A. en vertu de l’art. 420 al. 1 let. a CPP. Une indemnité a été accordée à B.________. Dans son arrêt du 14 janvier 2026, la Chambre pénale du Tribunal cantonal a confirmé cette ordonnance de classement rendue au bénéfice de l’intimée. L’appelante a déposé un recours au Tribunal fédéral à l’encontre de cet arrêt, de sorte qu’il n’est pas définitif. Toutefois, la Cour de céans relève que ce recours n’a pas d’effet suspensif et que, sous l’angle du droit pénal, il convient de ne pas perdre de vue le principe de la présomption d’innocence (art. 10 CPP). 2.3.2.2. Aussi, le seul élément figurant au dossier duquel il ressort que l’attitude de l’employée aurait été inadéquate est le procès-verbal d’audition de L.________ du 15 décembre 2023 devant le Tribunal des prud’hommes. L’administrateur de la société a en effet affirmé que le comportement de l’intimée aurait posé des problèmes au sein de l’entreprise, à tout le moins durant ses quatre dernières années d’activité. Elle n’aurait fait que crier et insulter ses collègues et il lui aurait demandé à plusieurs reprises d’arrêter (cf. PV du Tribunal des prud’hommes du 15 décembre 2023, p. 5 et 6). Ces déclarations faites par L.________ apparaissent toutefois peu crédibles et de circonstance. En effet, elles semblent n’être qu’un moyen de défense face à celles de B.________, qui a reproché à son patron d’avoir fait preuve de violence verbale à l’annonce de sa démission. Il aurait proféré, à son encontre, des injures, des menaces et des cris (cf. lettre adressée le 7 mai 2021 à L.________</w:t>
      </w:r>
    </w:p>
    <w:p>
      <w:r>
        <w:t>Tribunal cantonal TC Page 10 de 14 par B.________ et produite en début d’audience du 15 décembre 2023). Au moment de son audition par le Tribunal des prud'hommes, L.________ a reconnu s’être énervé lors de l’annonce de la démission de B.________, mais a rétorqué que son comportement n’avait été ni plus ni moins identique, durant une heure, à celui de son employée durant ces quatre dernières années (cf. PV du Tribunal des prud’hommes du 15 décembre 2023, p. 5). Or, cette allégation ne convainc pas la Cour. Premièrement, cette allégation ne ressort pas des écritures de la société A.________ S.A.. Si le comportement de l’employée avec ses collègues de travail avait été problématique au point de refuser de lui fournir un certificat de travail favorable, L.________ n’aurait pas manqué d’en faire part à son avocat afin que cette information figure dans sa réponse du 28 avril 2023. Deuxièmement, B.________ a travaillé du 1er juillet 2014 au 31 août 2021 au sein de la société A.________ S.A., soit durant sept ans. Cette durée relativement conséquente des rapports de travail tend à corroborer le fait que la qualité du travail et l’attitude de B.________ donnaient satisfaction à son employeur, ce d’autant plus que cette dernière a été promue le 1er janvier 2021. En effet, dès cette date, B.________ est devenue fondée de procuration (avec signature collective à deux) et son salaire mensuel brut a été augmenté de façon significative, soit de CHF 1'500.- par mois, ce qui confirme qu’elle avait la confiance de la direction. L.________ a par ailleurs lui-même signé, le 30 décembre 2020, la lettre de nomination de l’intimée en tant que fondée de procuration, en la remerciant pour son engagement au sein de la société (cf. bordereau du 20 octobre 2022 de l’intimée, pce 3). Troisièmement, B.________ n’a pas été licenciée, mais elle a démissionné (cf. bordereau du 20 octobre 2022 de l’intimée, pce 5). En outre, aucune mesure ne semble avoir été prise à son encontre au cours de son activité au sein de la société A.________ S.A., ce qui corrobore encore le fait que le comportement de cette employée ne semble pas avoir été problématique. Quatrièmement, à la suite des reproches qu’il a formulés à l’encontre de B.________ quant à son attitude, L.________ a ajouté qu’il prenait toutefois sa défense face à ses collègues, ce qui tend à confirmer le fait qu’il était lui-même satisfait de son employée. Il a encore déclaré que la péjoration des relations de travail avec l’intimée était en réalité due à l’arrivée d’une autre personne au sein de A.________ S.A., M.________, qui a perturbé l’ambiance au sein de l’entreprise par son comportement (cf. PV du Tribunal des prud’hommes du 15 décembre 2023, p. 5). Ces déclarations apparaissent contradictoires avec celles selon lesquelles B.________ n’aurait fait que crier et injurier ses collègues durant quatre ans. 2.3.2.3. Finalement, l’appelante affirme que B.________ n’a pas allégué en quoi elle méritait les qualificatifs auxquels elle prétendait par la remise d’un certificat de travail rédigé, alors qu’il lui appartenait de le faire. Or, la promotion de B.________ au mois de janvier 2021 et les allégués de l’appelante selon lesquelles la clientèle a suivi l’intimée après son départ de l’entreprise rendent à eux seules vraisemblable le contenu du certificat de travail proposé par B.________. En effet, si la clientèle a suivi B.________ dans sa nouvelle entreprise, cela atteste du fait que son travail et son comportement, à tout le moins envers les clients, donnaient satisfaction. D’éventuelles prétentions financières de la part de la société A.________ S.A. envers son employée pour cette raison-là n’influent ainsi pas sur le contenu du certificat de travail, étant précisé que l’appelante, à ce jour, échoue à démontrer non seulement que son employée ne mériterait pas les qualificatifs proposés dans le certificat de travail, mais également qu’elle aurait commis une infraction pénalement répréhensible à son encontre. L’appelante ne propose au demeurant aucune alternative au contenu du certificat de travail proposé par l’intimée.</w:t>
      </w:r>
    </w:p>
    <w:p>
      <w:r>
        <w:t>Tribunal cantonal TC Page 11 de 14 2.3.3. Il s’ensuit le rejet de l’appel sur ce point. 3. Répartition des dépens dans le cadre de la procédure de première instance 3.1. 3.1.1. Dans sa décision du 3 juillet 2025, le Tribunal des prud'hommes a fixé le montant total des dépens de B.________ à CHF 5'999.55 (CHF 5'200.- pour la conciliation et pour le fond + 5% de débours + CHF 90.- de frais de vacation pour trois séances [dont une séance de conciliation] + 8.1% de TVA) et celui de la société A.________ S.A. à CHF 4'605.05 (CHF 4'000.- pour le fond + 5% de débours + CHF 60.- de frais de vacation pour deux séances + 8.1% de TVA). La fixation de ces montants n’a pas été contestée en appel, de sorte qu’il n’y a pas lieu de la modifier. Les parties ont toutefois contesté la répartition de ces dépens. Le Tribunal des prud'hommes les a en effet mis à raison de 25% à la charge de B.________ et à hauteur de 75% à la charge de la société A.________ S.A., considérant que seules deux des trois prétentions de la première nommée avaient été admises (celles relatives aux vacances et au certificat de travail, mais pas celle relative à la gratification) et que l’exception de compensation soulevée par A.________ S.A. avait été rejetée. Par ailleurs, B.________ réclamait un montant de CHF 29'997.- et n’a obtenu que CHF 22'500.-, soit 75% de ses prétentions. 3.1.2. Selon l’appelante, il est faux de dire que B.________ a obtenu gain de cause sur deux de ses trois prétentions. En effet, à son avis, l’intimée n’aurait obtenu que partiellement gain de cause sur sa prétention concernant le certificat de travail, puisque la date retenue par l’autorité de première instance sur ce certificat n’est pas celle demandée par l’employée. Pour ce qui est de la prétention relative aux vacances non-prises, l’appelante avait admis un montant de CHF 18'748.15, de sorte que B.________, qui a obtenu un montant de CHF 22'500.-, n’a eu gain de cause que sur une différence de CHF 3'751.85 alors qu’elle demandait une somme de CHF 29'997.- à la base. Partant, sur le vu de ce qui précède, l’appelante conclut à ce que les dépens soient répartis par moitié entre les parties. 3.1.3. B.________ a conclu au rejet de l’appel et a déposé un appel joint sur la question de la répartition des dépens. Elle allègue que la cause jugée par le Tribunal des prud’hommes ne se définissait pas uniquement par les prétentions pécuniaires qui lui ont été accordées, mais plus globalement comme un procès de principe tendant à faire reconnaitre ses droits face à son ancien employeur, qui refusait de respecter ses obligations contractuelles et légales. Ce dernier a fait preuve de mauvaise foi et usé de méthodes chicanières à l’encontre de l’appelante jointe, déposant une plainte pénale injustifiée, ainsi qu’une demande reconventionnelle et une exception de compensation irrecevables et infondées dans le but de se soustraire à ses obligations. A titre subsidiaire, si une répartition des dépens en fonction du fait qu’une partie gagne sur le principe devait ne pas être prise en compte, B.________ requiert qu’il soit constaté que l’entier de la conclusion relative aux vacances non prises a été admise, à l’instar de celle relative à la délivrance du certificat de travail. En effet, seule la date de ce document a été modifiée par le Tribunal des prud'hommes et ce point, secondaire, constitue une controverse doctrinale. Il faut également considérer que l’exception de compensation formulée par l’appelante dans sa demande reconventionnelle a été rejetée par le Tribunal des prud'hommes et que l’appelante jointe a eu gain de cause sur tous les incidents procéduraux causés par l’appelante, ce dont le Tribunal des prud'hommes n’a pas tenu compte.</w:t>
      </w:r>
    </w:p>
    <w:p>
      <w:r>
        <w:t>Tribunal cantonal TC Page 12 de 14 Partant, sur le vu de ce qui précède, B.________ conclut à ce que l’entier des dépens soit mis à la charge de la société A.________ S.A.. 3.2. 3.2.1. Selon l'art. 106 al. 1 CPC, les frais sont mis à la charge de la partie succombante. Il faut tenir compte de l’ensemble des conclusions prises, qu’elles soient principales, ou reconventionnelles, y compris les conclusions en rejet des conclusions adverses (CR CPC-TAPPY, 2e éd. 2019, art. 106 n. 14). Une partie succombe entièrement au sens de l’art. 106 al. 1 CPC même si les prétentions de son adversaire sont aussi rejetées dans une proportion minime, pour autant que celui-ci obtienne gain de cause sur le principe de son action et sur l’essentiel des montants réclamés (CR CPC-TAPPY, art. 106 n. 16). L’art. 106 al. 2 CPC prescrit une répartition proportionnelle à la mesure où chacune des parties a succombé.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Une répartition schématique, retenant une clé de répartition simple (p.  ex. moitié-moitié, deux tiers-un tiers ou trois cinquièmes-deux cinquièmes, etc.) plutôt que des fractions mathématiquement exactes par rapport aux montants alloués est préférable (CR CPC-TAPPY, art. 106 n. 34). 3.2.2. L’art. 107 al. 1 CPC permet au tribunal de s'écarter de la règle générale de l’art. 106 CPC et de répartir les frais selon sa libre appréciation dans différents cas. Il s'agit là d'une disposition potestative (ATF 139 III 358 consid. 3), qui s’applique de manière restrictive, c’est-à-dire seulement en présence de circonstances particulières (PC CPC, 2020, art. 107 n. 4), par exemple lorsque le demandeur obtient gain de cause sur le principe de ses conclusions mais non sur leur montant, celui-ci étant tributaire de l’appréciation du tribunal ou difficile à chiffrer (let. a) ; c’est ainsi que la compensation des dépens ne consacre pas un abus du pouvoir d’appréciation lorsque le demandeur obtient gain de cause sur le principe du caractère injustifié du licenciement immédiat mais ne se voit allouer que le quart de ses conclusions en paiement (arrêt TF 4A_161/2016 du 13 décembre 2016 consid. 4.2). La notion de "bonne foi" de la let. b implique que la partie avait des raisons dignes de protection d’agir. Cette disposition peut trouver application si le procès finalement perdu a été causé par une attitude critiquable ou prêtant à confusion du défendeur (arrêt TC FR 101 2012 51 et 52 du 25 janvier 2013 consid. 2b), par exemple lorsque la partie qui obtient gain de cause a contribué à l’introduction de la procédure, qui aurait pu être évitée, par son comportement avant le procès (arrêt TF 4A_17/2017 du 7 septembre 2017 consid. 4.1). Le tribunal peut également s'écarter des règles générales et répartir les frais selon sa libre appréciation lorsque des circonstances particulières rendent la répartition en fonction du sort de la cause inéquitable (art. 107 al. 1 let. f CPC). Dans ce cadre, le juge dispose d'un large pouvoir d'appréciation, non seulement dans la manière de répartir les frais, mais déjà lorsqu'il s'agit de déterminer s'il veut s'écarter des règles générales prescrites à l'art. 106 CPC (ATF 139 III 358 consid. 3; arrêt TF 4A_161/2016 consid. 4.1). 3.3. En l’espèce, en application des dispositions légales précitées et de la jurisprudence y relative, la Cour se rallie à la répartition effectuée par le Tribunal des prud'hommes, qu’elle estime équitable.</w:t>
      </w:r>
    </w:p>
    <w:p>
      <w:r>
        <w:t>Tribunal cantonal TC Page 13 de 14 Tout d’abord, il apparait correct de considérer que deux des trois prétentions de B.________ ont été admises en première instance, soit celles relatives aux vacances et au certificat de travail. En effet, seule la date du certificat de travail a été modifiée par le Tribunal des prud'hommes, ce qui constitue sans conteste une modification minime par rapport à la prétention de base de l’employée. B.________ a en effet obtenu gain de cause non seulement sur le principe de la délivrance d’un certificat de travail, mais également sur le contenu dudit certificat. Aussi, le fait que la société A.________ S.A. ait admis, pour partie, la prétention de B.________ relative à ses vacances ne change rien au fait que cette dernière a obtenu gain de cause à ce propos. En effet, le défendeur qui acquiesce succombe (art. 106 al. 1 CPC). De plus, bien qu’en accord avec une partie du montant requis à ce titre par son employée, la société A.________ S.A. n’a effectué aucun versement, ce qui a provoqué l’ouverture de l’action de B.________. Cette dernière a obtenu CHF 22'500.- au lieu de CHF 29'997.- soit l’essentiel de la somme requise. La conclusion de l’employée relative au versement du bonus a cependant été intégralement rejetée, ce qu’il convient de ne pas occulter dans la répartition des dépens. A ce stade, il apparaitrait donc correct d’imputer le 1/3 des dépens à B.________ et les 2/3 à la société A.________ S.A.. Il convient toutefois de ne pas perdre de vue que la société A.________ S.A. a déposé, à deux reprises, une demande reconventionnelle dans le cadre de la procédure de première instance, soit le 28 avril 2023 et le 9 janvier 2025. Ces demandes reconventionnelles ont toutes deux été déclarées irrecevables, ce qu’a pris en compte le Tribunal des prud'hommes en répartissant les dépens, puisqu’il a précisé que l’exception de compensation soulevée par A.________ S.A. avait été rejetée. Aussi, à l’instar du Tribunal des prud'hommes, la Cour considère équitable de diminuer à 25% les dépens dus par B.________ pour tenir compte du fait qu’elle a également obtenu gain de cause face à la société A.________ S.A. dans le cadre des demandes reconventionnelles de cette dernière. Finalement, compte tenu du rejet de l’appel portant sur la délivrance et le contenu du certificat de travail, il n’y a pas lieu de modifier la répartition des dépens opérée en première instance. 3.4. Il s’ensuit le rejet de l’appel également sur ce point et le rejet de l’appel joint. 4. 4.1. Tant l’appel que l’appel joint sont rejetés, de sorte que les frais de deuxième instance sont répartis selon le sort de la cause conformément à l’art. 106 al. 2 CPC. Dans la mesure où l’appelante attaquait deux points du jugement de première instance (délivrance du certificat de travail et répartition des dépens) et l’appelante jointe un seul (répartition des dépens) et étant donné que le point relatif au certificat de travail était à l’évidence l’élément principal contesté en appel puisqu’il était le plus développé et argumenté, la Cour estime équitable d’appliquer le même ratio qu’en première instance en imputant 75% des frais à l’appelante et 25% à l’appelante jointe. 4.2. S'agissant d'un litige portant sur un contrat de travail, la valeur litigieuse n’excédant pas CHF 30'000.-, il n'est pas perçu de frais judiciaires (art. 114 let. c CPC). 4.3. Selon l'art. 105 al. 2 CPC, le tribunal fixe les dépens selon le tarif, soit le règlement fribourgeois du 30 novembre 2010 sur la justice (RJ ; RSF 130.11). En cas de fixation globale, comme en l'espèce (art. 64 al. 1 let. f RJ), l’autorité tient compte notamment de la nature, de la difficulté et de l’ampleur de la procédure et du travail nécessaire de l’avocat, ainsi que de l’intérêt et de la situation économiques des parties (art. 63 al. 2 RJ). L'indemnité maximale en cas de recours</w:t>
      </w:r>
    </w:p>
    <w:p>
      <w:r>
        <w:t>Tribunal cantonal TC Page 14 de 14 contre un jugement rendu en procédure simplifiée dont la valeur litigieuse ne dépasse pas CHF 30'000.- est de CHF 6'000.-, montant pouvant être doublé si des circonstances particulières le justifient (art. 64 al. 1 let. b et al. 2 RJ), ce qui n’est toutefois pas le cas en l’espèce. Compte tenu de ces critères, les dépens de chacune des parties sont arrêtés globalement à la somme de CHF 3’243.-, TVA par CHF 243.- comprise (8.1% de CHF 3’000.-). Après compensation, la société A.________ S.A. versera à B.________ une indemnité globale de CHF 1'621.50 ([75% de CHF 3'243.- = CHF 2'432.75] – [25% de CHF 3'243.- = CHF 810.75]) à titre de dépens. la Cour arrête : I. L’appel est rejeté. L’appel joint est rejeté. Partant, le jugement rendu par le Tribunal des prud’hommes de la Sarine le 3 juillet 2025 est confirmé. II. Les frais de la procédure d'appel sont mis à la charge de la société A.________ S.A. à raison de 75% et à la charge de B.________ à raison de 25%. Il n’est pas perçu de frais judiciaires pour la procédure d’appel. Les dépens dus à B.________ par la société A.________ S.A. sont fixés globalement, après compensation, au montant de CHF 1'621.50, TVA par CHF 121.50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mai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